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505E2A" w:rsidP="00FD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proofErr w:type="spellStart"/>
            <w:r w:rsidR="00FD6B6F">
              <w:rPr>
                <w:rFonts w:ascii="Arial" w:hAnsi="Arial" w:cs="Arial"/>
              </w:rPr>
              <w:t>Windrush</w:t>
            </w:r>
            <w:proofErr w:type="spellEnd"/>
            <w:r w:rsidR="00FD6B6F">
              <w:rPr>
                <w:rFonts w:ascii="Arial" w:hAnsi="Arial" w:cs="Arial"/>
              </w:rPr>
              <w:t xml:space="preserve"> </w:t>
            </w:r>
            <w:r w:rsidR="004E72CF">
              <w:rPr>
                <w:rFonts w:ascii="Arial" w:hAnsi="Arial" w:cs="Arial"/>
              </w:rPr>
              <w:t xml:space="preserve">Flag </w:t>
            </w:r>
            <w:r w:rsidR="003D141F">
              <w:rPr>
                <w:rFonts w:ascii="Arial" w:hAnsi="Arial" w:cs="Arial"/>
              </w:rPr>
              <w:t xml:space="preserve">from the </w:t>
            </w:r>
            <w:r w:rsidR="00C639AD">
              <w:rPr>
                <w:rFonts w:ascii="Arial" w:hAnsi="Arial" w:cs="Arial"/>
              </w:rPr>
              <w:t>1930s extension</w:t>
            </w:r>
            <w:r w:rsidR="003D141F">
              <w:rPr>
                <w:rFonts w:ascii="Arial" w:hAnsi="Arial" w:cs="Arial"/>
              </w:rPr>
              <w:t xml:space="preserve"> flagpole</w:t>
            </w:r>
            <w:r>
              <w:rPr>
                <w:rFonts w:ascii="Arial" w:hAnsi="Arial" w:cs="Arial"/>
              </w:rPr>
              <w:t xml:space="preserve"> </w:t>
            </w:r>
            <w:r w:rsidR="00FD6B6F">
              <w:rPr>
                <w:rFonts w:ascii="Arial" w:hAnsi="Arial" w:cs="Arial"/>
              </w:rPr>
              <w:t>from 22-25 June 2023</w:t>
            </w:r>
            <w:r w:rsidR="000E2EE4">
              <w:rPr>
                <w:rFonts w:ascii="Arial" w:hAnsi="Arial" w:cs="Arial"/>
              </w:rPr>
              <w:t>.</w:t>
            </w:r>
          </w:p>
          <w:p w:rsidR="000E2EE4" w:rsidRPr="00A96C08" w:rsidRDefault="000E2EE4" w:rsidP="00FD6B6F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FD6B6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17 April 2023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F052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delegated responsibility to the Head of Law and Governance on 13 March 2019</w:t>
            </w:r>
            <w:r w:rsidRPr="002C34F5">
              <w:rPr>
                <w:rFonts w:ascii="Arial" w:hAnsi="Arial" w:cs="Arial"/>
              </w:rPr>
              <w:t xml:space="preserve"> for the operation of the Flag Flying Protocol, including the arrangements for considering one-off requests and for holding and maintaining the List of Annual Flag Flying Commitments and the List of Annual Bell Ringing Commitments.</w:t>
            </w:r>
          </w:p>
          <w:p w:rsidR="00E97024" w:rsidRDefault="003D141F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Law and Governance delegated responsibility </w:t>
            </w:r>
            <w:r w:rsidRPr="00CA7973">
              <w:rPr>
                <w:rFonts w:ascii="Arial" w:hAnsi="Arial" w:cs="Arial"/>
              </w:rPr>
              <w:t>to deal with any Flag Flying responsibilities in accordance with the Flag Flying Protocol to the Committee and Member Services Manager.</w:t>
            </w:r>
          </w:p>
          <w:p w:rsidR="000E2EE4" w:rsidRPr="00E20A54" w:rsidRDefault="000E2EE4" w:rsidP="003D141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F052C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FD6B6F" w:rsidP="004E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proofErr w:type="spellStart"/>
            <w:r>
              <w:rPr>
                <w:rFonts w:ascii="Arial" w:hAnsi="Arial" w:cs="Arial"/>
              </w:rPr>
              <w:t>Windrush</w:t>
            </w:r>
            <w:proofErr w:type="spellEnd"/>
            <w:r>
              <w:rPr>
                <w:rFonts w:ascii="Arial" w:hAnsi="Arial" w:cs="Arial"/>
              </w:rPr>
              <w:t xml:space="preserve"> Flag from the 1930s extension flagpole from 22-25 June 2023.</w:t>
            </w:r>
          </w:p>
          <w:p w:rsidR="000E2EE4" w:rsidRPr="00A96C08" w:rsidRDefault="000E2EE4" w:rsidP="004E72C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A108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FD6B6F" w:rsidP="00C63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proofErr w:type="spellStart"/>
            <w:r>
              <w:rPr>
                <w:rFonts w:ascii="Arial" w:hAnsi="Arial" w:cs="Arial"/>
              </w:rPr>
              <w:t>Windrush</w:t>
            </w:r>
            <w:proofErr w:type="spellEnd"/>
            <w:r>
              <w:rPr>
                <w:rFonts w:ascii="Arial" w:hAnsi="Arial" w:cs="Arial"/>
              </w:rPr>
              <w:t xml:space="preserve"> Flag from the 1930s extension flagpole from 22-25 June 2023.</w:t>
            </w:r>
          </w:p>
          <w:p w:rsidR="000E2EE4" w:rsidRPr="00A96C08" w:rsidRDefault="000E2EE4" w:rsidP="00C639AD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A108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DF084D" w:rsidP="00FD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3D141F">
              <w:rPr>
                <w:rFonts w:ascii="Arial" w:hAnsi="Arial" w:cs="Arial"/>
              </w:rPr>
              <w:t xml:space="preserve">mark the </w:t>
            </w:r>
            <w:r w:rsidR="00FD6B6F">
              <w:rPr>
                <w:rFonts w:ascii="Arial" w:hAnsi="Arial" w:cs="Arial"/>
              </w:rPr>
              <w:t>75</w:t>
            </w:r>
            <w:r w:rsidR="00FD6B6F" w:rsidRPr="00FD6B6F">
              <w:rPr>
                <w:rFonts w:ascii="Arial" w:hAnsi="Arial" w:cs="Arial"/>
                <w:vertAlign w:val="superscript"/>
              </w:rPr>
              <w:t>th</w:t>
            </w:r>
            <w:r w:rsidR="00FD6B6F">
              <w:rPr>
                <w:rFonts w:ascii="Arial" w:hAnsi="Arial" w:cs="Arial"/>
              </w:rPr>
              <w:t xml:space="preserve"> </w:t>
            </w:r>
            <w:r w:rsidR="004E72CF">
              <w:rPr>
                <w:rFonts w:ascii="Arial" w:hAnsi="Arial" w:cs="Arial"/>
              </w:rPr>
              <w:t xml:space="preserve">anniversary of the </w:t>
            </w:r>
            <w:r w:rsidR="000E2EE4">
              <w:rPr>
                <w:rFonts w:ascii="Arial" w:hAnsi="Arial" w:cs="Arial"/>
              </w:rPr>
              <w:t>arrival of passenge</w:t>
            </w:r>
            <w:r w:rsidR="00FD6B6F">
              <w:rPr>
                <w:rFonts w:ascii="Arial" w:hAnsi="Arial" w:cs="Arial"/>
              </w:rPr>
              <w:t xml:space="preserve">rs on HMT Empire </w:t>
            </w:r>
            <w:proofErr w:type="spellStart"/>
            <w:r w:rsidR="00FD6B6F">
              <w:rPr>
                <w:rFonts w:ascii="Arial" w:hAnsi="Arial" w:cs="Arial"/>
              </w:rPr>
              <w:t>Windrush</w:t>
            </w:r>
            <w:proofErr w:type="spellEnd"/>
            <w:r w:rsidR="00FD6B6F">
              <w:rPr>
                <w:rFonts w:ascii="Arial" w:hAnsi="Arial" w:cs="Arial"/>
              </w:rPr>
              <w:t xml:space="preserve"> at Tilbury Docks in Essex.</w:t>
            </w:r>
          </w:p>
          <w:p w:rsidR="000E2EE4" w:rsidRPr="00A96C08" w:rsidRDefault="000E2EE4" w:rsidP="00FD6B6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A1083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3D141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  <w:p w:rsidR="000E2EE4" w:rsidRPr="00A96C08" w:rsidRDefault="000E2EE4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A1083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2E4F42" w:rsidP="00FD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fly the </w:t>
            </w:r>
            <w:proofErr w:type="spellStart"/>
            <w:r w:rsidR="00FD6B6F">
              <w:rPr>
                <w:rFonts w:ascii="Arial" w:hAnsi="Arial" w:cs="Arial"/>
              </w:rPr>
              <w:t>Windrush</w:t>
            </w:r>
            <w:proofErr w:type="spellEnd"/>
            <w:r w:rsidR="00FD6B6F">
              <w:rPr>
                <w:rFonts w:ascii="Arial" w:hAnsi="Arial" w:cs="Arial"/>
              </w:rPr>
              <w:t xml:space="preserve"> </w:t>
            </w:r>
            <w:r w:rsidR="004E72CF">
              <w:rPr>
                <w:rFonts w:ascii="Arial" w:hAnsi="Arial" w:cs="Arial"/>
              </w:rPr>
              <w:t xml:space="preserve">Flag </w:t>
            </w:r>
            <w:r w:rsidR="003D141F">
              <w:rPr>
                <w:rFonts w:ascii="Arial" w:hAnsi="Arial" w:cs="Arial"/>
              </w:rPr>
              <w:t>from the 1930s extension flagpole</w:t>
            </w:r>
            <w:r>
              <w:rPr>
                <w:rFonts w:ascii="Arial" w:hAnsi="Arial" w:cs="Arial"/>
              </w:rPr>
              <w:t>. This option was rejected</w:t>
            </w:r>
            <w:r w:rsidR="00A10838">
              <w:rPr>
                <w:rFonts w:ascii="Arial" w:hAnsi="Arial" w:cs="Arial"/>
              </w:rPr>
              <w:t xml:space="preserve"> </w:t>
            </w:r>
            <w:r w:rsidR="003D141F">
              <w:rPr>
                <w:rFonts w:ascii="Arial" w:hAnsi="Arial" w:cs="Arial"/>
              </w:rPr>
              <w:t xml:space="preserve">due to the importance </w:t>
            </w:r>
            <w:r w:rsidR="004E72CF">
              <w:rPr>
                <w:rFonts w:ascii="Arial" w:hAnsi="Arial" w:cs="Arial"/>
              </w:rPr>
              <w:t xml:space="preserve">of marking the </w:t>
            </w:r>
            <w:r w:rsidR="00FD6B6F">
              <w:rPr>
                <w:rFonts w:ascii="Arial" w:hAnsi="Arial" w:cs="Arial"/>
              </w:rPr>
              <w:t>75</w:t>
            </w:r>
            <w:r w:rsidR="00FD6B6F" w:rsidRPr="00FD6B6F">
              <w:rPr>
                <w:rFonts w:ascii="Arial" w:hAnsi="Arial" w:cs="Arial"/>
                <w:vertAlign w:val="superscript"/>
              </w:rPr>
              <w:t>th</w:t>
            </w:r>
            <w:r w:rsidR="00FD6B6F">
              <w:rPr>
                <w:rFonts w:ascii="Arial" w:hAnsi="Arial" w:cs="Arial"/>
              </w:rPr>
              <w:t xml:space="preserve"> </w:t>
            </w:r>
            <w:r w:rsidR="004E72CF">
              <w:rPr>
                <w:rFonts w:ascii="Arial" w:hAnsi="Arial" w:cs="Arial"/>
              </w:rPr>
              <w:t xml:space="preserve">anniversary of the </w:t>
            </w:r>
            <w:r w:rsidR="000E2EE4">
              <w:rPr>
                <w:rFonts w:ascii="Arial" w:hAnsi="Arial" w:cs="Arial"/>
              </w:rPr>
              <w:t>arrival of passenge</w:t>
            </w:r>
            <w:r w:rsidR="00FD6B6F">
              <w:rPr>
                <w:rFonts w:ascii="Arial" w:hAnsi="Arial" w:cs="Arial"/>
              </w:rPr>
              <w:t>rs – the flying of the flag coincides with a weekend of activity to mark the occasion</w:t>
            </w:r>
            <w:r w:rsidR="004E72CF">
              <w:rPr>
                <w:rFonts w:ascii="Arial" w:hAnsi="Arial" w:cs="Arial"/>
              </w:rPr>
              <w:t>.</w:t>
            </w:r>
          </w:p>
          <w:p w:rsidR="000E2EE4" w:rsidRPr="00A96C08" w:rsidRDefault="000E2EE4" w:rsidP="00FD6B6F">
            <w:pPr>
              <w:rPr>
                <w:rFonts w:ascii="Arial" w:hAnsi="Arial" w:cs="Arial"/>
              </w:rPr>
            </w:pPr>
          </w:p>
        </w:tc>
      </w:tr>
      <w:tr w:rsidR="006F6326" w:rsidTr="000E2EE4">
        <w:tc>
          <w:tcPr>
            <w:tcW w:w="3715" w:type="dxa"/>
          </w:tcPr>
          <w:p w:rsidR="00C678ED" w:rsidRPr="00C678ED" w:rsidRDefault="006F6326" w:rsidP="00A1083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0E2EE4" w:rsidRPr="00A96C08" w:rsidRDefault="000E2EE4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3505E0" w:rsidRDefault="003505E0" w:rsidP="00A108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A1083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A1083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</w:t>
            </w:r>
          </w:p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Manager (Interim Acting)</w:t>
            </w:r>
          </w:p>
          <w:p w:rsidR="00960744" w:rsidRPr="00A96C08" w:rsidRDefault="00FD6B6F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April</w:t>
            </w:r>
            <w:r w:rsidR="004E72CF">
              <w:rPr>
                <w:rFonts w:ascii="Arial" w:hAnsi="Arial" w:cs="Arial"/>
              </w:rPr>
              <w:t xml:space="preserve"> 2023</w:t>
            </w:r>
          </w:p>
        </w:tc>
      </w:tr>
    </w:tbl>
    <w:p w:rsidR="002611EB" w:rsidRDefault="002611EB" w:rsidP="008A22C6"/>
    <w:p w:rsidR="005C60B2" w:rsidRDefault="005C60B2" w:rsidP="008A22C6"/>
    <w:p w:rsidR="00720E01" w:rsidRDefault="00720E01" w:rsidP="002611EB">
      <w:pPr>
        <w:rPr>
          <w:rFonts w:ascii="Arial" w:hAnsi="Arial" w:cs="Arial"/>
          <w:b/>
        </w:rPr>
      </w:pPr>
    </w:p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3D141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</w:tc>
        <w:tc>
          <w:tcPr>
            <w:tcW w:w="1984" w:type="dxa"/>
            <w:vAlign w:val="center"/>
          </w:tcPr>
          <w:p w:rsidR="005C60B2" w:rsidRPr="005C60B2" w:rsidRDefault="00FD6B6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17/04/2023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Default="000E2EE4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</w:t>
            </w:r>
            <w:bookmarkStart w:id="0" w:name="_GoBack"/>
            <w:bookmarkEnd w:id="0"/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505E2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4B009C" w:rsidRDefault="004B009C" w:rsidP="005C60B2">
            <w:pPr>
              <w:rPr>
                <w:rFonts w:ascii="Arial" w:hAnsi="Arial" w:cs="Arial"/>
              </w:rPr>
            </w:pPr>
            <w:r w:rsidRPr="004B009C">
              <w:rPr>
                <w:rFonts w:ascii="Arial" w:hAnsi="Arial" w:cs="Arial"/>
              </w:rPr>
              <w:t>17/04/2023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424A92" w:rsidRPr="00532DF2" w:rsidRDefault="00424A92" w:rsidP="00A10838">
      <w:pPr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sectPr w:rsidR="00BF240D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272A9"/>
    <w:rsid w:val="000445D4"/>
    <w:rsid w:val="0005774E"/>
    <w:rsid w:val="0008133A"/>
    <w:rsid w:val="000B4310"/>
    <w:rsid w:val="000D2140"/>
    <w:rsid w:val="000E2EE4"/>
    <w:rsid w:val="000F4239"/>
    <w:rsid w:val="00231385"/>
    <w:rsid w:val="002611EB"/>
    <w:rsid w:val="00263039"/>
    <w:rsid w:val="002A07C9"/>
    <w:rsid w:val="002B53D4"/>
    <w:rsid w:val="002E4F42"/>
    <w:rsid w:val="002E61DD"/>
    <w:rsid w:val="00335A9B"/>
    <w:rsid w:val="003505E0"/>
    <w:rsid w:val="003547CD"/>
    <w:rsid w:val="00373F5D"/>
    <w:rsid w:val="003B1236"/>
    <w:rsid w:val="003B4710"/>
    <w:rsid w:val="003D141F"/>
    <w:rsid w:val="004000D7"/>
    <w:rsid w:val="00405321"/>
    <w:rsid w:val="00424A92"/>
    <w:rsid w:val="004A049B"/>
    <w:rsid w:val="004B009C"/>
    <w:rsid w:val="004B1944"/>
    <w:rsid w:val="004E72CF"/>
    <w:rsid w:val="00504E43"/>
    <w:rsid w:val="00505E2A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20E01"/>
    <w:rsid w:val="00735182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0838"/>
    <w:rsid w:val="00A12928"/>
    <w:rsid w:val="00A253FE"/>
    <w:rsid w:val="00A746F0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39AD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F084D"/>
    <w:rsid w:val="00E127E3"/>
    <w:rsid w:val="00E2036C"/>
    <w:rsid w:val="00E20A54"/>
    <w:rsid w:val="00E270E5"/>
    <w:rsid w:val="00E97024"/>
    <w:rsid w:val="00E97F84"/>
    <w:rsid w:val="00F052C1"/>
    <w:rsid w:val="00F11FD1"/>
    <w:rsid w:val="00F64579"/>
    <w:rsid w:val="00FD3A85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2A8B-B0B6-452F-B67F-9A9642C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A781BBAE</Template>
  <TotalTime>113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21</cp:revision>
  <cp:lastPrinted>2015-07-27T09:35:00Z</cp:lastPrinted>
  <dcterms:created xsi:type="dcterms:W3CDTF">2021-09-29T10:29:00Z</dcterms:created>
  <dcterms:modified xsi:type="dcterms:W3CDTF">2023-04-18T07:04:00Z</dcterms:modified>
</cp:coreProperties>
</file>